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Localitatea                                                                                                                                                </w:t>
      </w:r>
      <w:r w:rsidRPr="00BE057A">
        <w:rPr>
          <w:b/>
          <w:color w:val="000000" w:themeColor="text1"/>
          <w:sz w:val="18"/>
          <w:szCs w:val="18"/>
        </w:rPr>
        <w:tab/>
        <w:t xml:space="preserve">           </w:t>
      </w:r>
      <w:r w:rsidR="0002269F" w:rsidRPr="0002269F">
        <w:rPr>
          <w:b/>
          <w:noProof/>
          <w:color w:val="000000" w:themeColor="text1"/>
          <w:sz w:val="18"/>
          <w:szCs w:val="18"/>
          <w:lang w:val="ro-RO" w:eastAsia="ro-RO"/>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provenienţă a candidatului)</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şefului direct</w:t>
            </w:r>
            <w:r>
              <w:rPr>
                <w:b/>
                <w:color w:val="000000" w:themeColor="text1"/>
                <w:sz w:val="16"/>
                <w:szCs w:val="16"/>
              </w:rPr>
              <w:t>,</w:t>
            </w:r>
            <w:r w:rsidRPr="00BE057A">
              <w:rPr>
                <w:b/>
                <w:color w:val="000000" w:themeColor="text1"/>
                <w:sz w:val="16"/>
                <w:szCs w:val="16"/>
              </w:rPr>
              <w:t xml:space="preserve"> semnătura</w:t>
            </w:r>
            <w:r>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F40D56">
        <w:rPr>
          <w:b/>
          <w:color w:val="000000" w:themeColor="text1"/>
          <w:sz w:val="22"/>
          <w:szCs w:val="22"/>
        </w:rPr>
        <w:t>3</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A765CF"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 xml:space="preserve">Dispoziţiei Directorului General al Direcţiei Generale Management Resurse Umane nr. </w:t>
                        </w:r>
                        <w:r w:rsidR="00F40D56">
                          <w:rPr>
                            <w:sz w:val="22"/>
                            <w:szCs w:val="22"/>
                          </w:rPr>
                          <w:t xml:space="preserve">II /12298 din 28.06.2023 </w:t>
                        </w:r>
                        <w:r w:rsidR="00407943" w:rsidRPr="000458A6">
                          <w:rPr>
                            <w:sz w:val="22"/>
                            <w:szCs w:val="22"/>
                          </w:rPr>
                          <w:t>privind recrutarea candidaţilor pentru participarea la concursul de admitere organizat în anul 202</w:t>
                        </w:r>
                        <w:r w:rsidR="00F40D56">
                          <w:rPr>
                            <w:sz w:val="22"/>
                            <w:szCs w:val="22"/>
                          </w:rPr>
                          <w:t>3</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Pr>
                            <w:sz w:val="22"/>
                            <w:szCs w:val="22"/>
                            <w:lang w:val="en-US"/>
                          </w:rPr>
                          <w:t>,</w:t>
                        </w:r>
                        <w:r w:rsidR="00A765CF">
                          <w:rPr>
                            <w:sz w:val="22"/>
                            <w:szCs w:val="22"/>
                            <w:lang w:val="en-US"/>
                          </w:rPr>
                          <w:t xml:space="preserve"> </w:t>
                        </w:r>
                        <w:r w:rsidR="00A765CF" w:rsidRPr="00A765CF">
                          <w:rPr>
                            <w:i/>
                            <w:sz w:val="22"/>
                            <w:szCs w:val="22"/>
                          </w:rPr>
                          <w:t xml:space="preserve">ale Dispoziției inspectorului general a Poliției Române nr. </w:t>
                        </w:r>
                        <w:r w:rsidR="00F40D56">
                          <w:rPr>
                            <w:i/>
                            <w:sz w:val="22"/>
                            <w:szCs w:val="22"/>
                          </w:rPr>
                          <w:t>____</w:t>
                        </w:r>
                        <w:r w:rsidR="00A765CF" w:rsidRPr="00A765CF">
                          <w:rPr>
                            <w:i/>
                            <w:sz w:val="22"/>
                            <w:szCs w:val="22"/>
                          </w:rPr>
                          <w:t xml:space="preserve">din </w:t>
                        </w:r>
                        <w:r w:rsidR="00F40D56">
                          <w:rPr>
                            <w:i/>
                            <w:sz w:val="22"/>
                            <w:szCs w:val="22"/>
                          </w:rPr>
                          <w:t>_________</w:t>
                        </w:r>
                        <w:r w:rsidR="00A765CF" w:rsidRPr="00A765CF">
                          <w:rPr>
                            <w:i/>
                            <w:sz w:val="22"/>
                            <w:szCs w:val="22"/>
                          </w:rPr>
                          <w:t xml:space="preserve"> privind recrutarea și selecția candidaților pentru admiterea la Academia de Poliție Alexandru Ioan </w:t>
                        </w:r>
                        <w:r w:rsidR="00F40D56">
                          <w:rPr>
                            <w:i/>
                            <w:sz w:val="22"/>
                            <w:szCs w:val="22"/>
                          </w:rPr>
                          <w:t>Cuza, sesiunea 2023</w:t>
                        </w:r>
                        <w:bookmarkStart w:id="0" w:name="_GoBack"/>
                        <w:bookmarkEnd w:id="0"/>
                        <w:r w:rsidR="00A765CF">
                          <w:rPr>
                            <w:i/>
                            <w:sz w:val="22"/>
                            <w:szCs w:val="22"/>
                          </w:rPr>
                          <w:t>,</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F40D56">
                          <w:rPr>
                            <w:color w:val="000000" w:themeColor="text1"/>
                            <w:sz w:val="22"/>
                            <w:szCs w:val="22"/>
                          </w:rPr>
                          <w:t>3</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lastRenderedPageBreak/>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765CF" w:rsidRPr="00A765CF" w:rsidRDefault="00A765CF" w:rsidP="005E2106">
            <w:pPr>
              <w:pStyle w:val="Default"/>
              <w:jc w:val="both"/>
              <w:rPr>
                <w:color w:val="000000" w:themeColor="text1"/>
                <w:sz w:val="22"/>
                <w:szCs w:val="22"/>
              </w:rPr>
            </w:pPr>
            <w:r>
              <w:rPr>
                <w:i/>
                <w:sz w:val="22"/>
                <w:szCs w:val="22"/>
              </w:rPr>
              <w:t xml:space="preserve">     </w:t>
            </w:r>
            <w:r w:rsidRPr="00A765CF">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p>
          <w:p w:rsidR="00A809E4" w:rsidRPr="00BE6936" w:rsidRDefault="00A765CF" w:rsidP="005E2106">
            <w:pPr>
              <w:jc w:val="both"/>
              <w:rPr>
                <w:color w:val="000000" w:themeColor="text1"/>
              </w:rPr>
            </w:pPr>
            <w:r>
              <w:rPr>
                <w:color w:val="000000" w:themeColor="text1"/>
                <w:sz w:val="23"/>
                <w:szCs w:val="23"/>
              </w:rPr>
              <w:t xml:space="preserve">     </w:t>
            </w:r>
            <w:r w:rsidR="005E2106" w:rsidRPr="00BE6936">
              <w:rPr>
                <w:color w:val="000000" w:themeColor="text1"/>
                <w:sz w:val="23"/>
                <w:szCs w:val="23"/>
              </w:rPr>
              <w:t>Faţă de cele raportate, vă rog disp</w:t>
            </w:r>
            <w:r w:rsidR="000458A6">
              <w:rPr>
                <w:color w:val="000000" w:themeColor="text1"/>
                <w:sz w:val="23"/>
                <w:szCs w:val="23"/>
              </w:rPr>
              <w:t>uneți.</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A765CF"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A765CF"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10"/>
      <w:footerReference w:type="default" r:id="rId11"/>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735" w:rsidRDefault="00362735">
      <w:r>
        <w:separator/>
      </w:r>
    </w:p>
  </w:endnote>
  <w:endnote w:type="continuationSeparator" w:id="0">
    <w:p w:rsidR="00362735" w:rsidRDefault="0036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F40D56">
      <w:rPr>
        <w:rStyle w:val="PageNumber"/>
        <w:noProof/>
      </w:rPr>
      <w:t>2</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735" w:rsidRDefault="00362735">
      <w:r>
        <w:separator/>
      </w:r>
    </w:p>
  </w:footnote>
  <w:footnote w:type="continuationSeparator" w:id="0">
    <w:p w:rsidR="00362735" w:rsidRDefault="00362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022F"/>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2735"/>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0762"/>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0ECA"/>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765CF"/>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0290B"/>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774E"/>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0D56"/>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0A2A-F1EB-4B1C-B407-EBB61DEC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6271</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tcaciuc_george</cp:lastModifiedBy>
  <cp:revision>2</cp:revision>
  <cp:lastPrinted>2023-06-29T11:19:00Z</cp:lastPrinted>
  <dcterms:created xsi:type="dcterms:W3CDTF">2023-06-29T11:19:00Z</dcterms:created>
  <dcterms:modified xsi:type="dcterms:W3CDTF">2023-06-29T11:19:00Z</dcterms:modified>
</cp:coreProperties>
</file>